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bookmarkStart w:id="0" w:name="_GoBack"/>
      <w:bookmarkEnd w:id="0"/>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6F5FA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2025-09-23T16:16:59Z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E05999C7D27B1B3C7B57D268FEF24132_43</vt:lpwstr>
  </property>
</Properties>
</file>